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rPr>
      </w:pPr>
      <w:r>
        <w:rPr>
          <w:rFonts w:hint="eastAsia" w:ascii="宋体" w:hAnsi="宋体" w:eastAsia="宋体" w:cs="Times New Roman"/>
          <w:b/>
          <w:bCs/>
          <w:color w:val="000000" w:themeColor="text1"/>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rPr>
        <w:instrText xml:space="preserve">ADDIN CNKISM.UserStyle</w:instrText>
      </w:r>
      <w:r>
        <w:rPr>
          <w:rFonts w:hint="eastAsia" w:ascii="宋体" w:hAnsi="宋体" w:eastAsia="宋体" w:cs="Times New Roman"/>
          <w:b/>
          <w:bCs/>
          <w:color w:val="000000" w:themeColor="text1"/>
          <w:kern w:val="0"/>
          <w:sz w:val="36"/>
          <w:szCs w:val="36"/>
        </w:rPr>
        <w:fldChar w:fldCharType="end"/>
      </w:r>
      <w:r>
        <w:rPr>
          <w:rFonts w:hint="eastAsia" w:ascii="宋体" w:hAnsi="宋体" w:eastAsia="宋体" w:cs="Times New Roman"/>
          <w:b/>
          <w:bCs/>
          <w:color w:val="000000" w:themeColor="text1"/>
          <w:kern w:val="0"/>
          <w:sz w:val="36"/>
          <w:szCs w:val="36"/>
        </w:rPr>
        <w:t>《猪场兽药质量评价标准》编制说明</w:t>
      </w:r>
    </w:p>
    <w:p>
      <w:pPr>
        <w:pStyle w:val="15"/>
        <w:numPr>
          <w:ilvl w:val="0"/>
          <w:numId w:val="1"/>
        </w:numPr>
        <w:ind w:firstLineChars="0"/>
        <w:rPr>
          <w:rFonts w:ascii="宋体" w:hAnsi="宋体" w:eastAsia="宋体"/>
          <w:b/>
          <w:bCs/>
          <w:sz w:val="28"/>
          <w:szCs w:val="28"/>
        </w:rPr>
      </w:pPr>
      <w:r>
        <w:rPr>
          <w:rFonts w:ascii="宋体" w:hAnsi="宋体" w:eastAsia="宋体"/>
          <w:b/>
          <w:bCs/>
          <w:sz w:val="28"/>
          <w:szCs w:val="28"/>
        </w:rPr>
        <w:t>标准主要技术内容</w:t>
      </w:r>
      <w:r>
        <w:rPr>
          <w:rFonts w:hint="eastAsia" w:ascii="宋体" w:hAnsi="宋体" w:eastAsia="宋体"/>
          <w:b/>
          <w:bCs/>
          <w:sz w:val="28"/>
          <w:szCs w:val="28"/>
        </w:rPr>
        <w:t>与使用方法</w:t>
      </w:r>
    </w:p>
    <w:p>
      <w:pPr>
        <w:rPr>
          <w:rFonts w:ascii="宋体" w:hAnsi="宋体" w:eastAsia="宋体"/>
          <w:b/>
          <w:bCs/>
          <w:sz w:val="28"/>
          <w:szCs w:val="28"/>
        </w:rPr>
      </w:pPr>
      <w:r>
        <w:rPr>
          <w:rFonts w:hint="eastAsia" w:ascii="宋体" w:hAnsi="宋体" w:eastAsia="宋体"/>
          <w:b/>
          <w:bCs/>
          <w:sz w:val="28"/>
          <w:szCs w:val="28"/>
        </w:rPr>
        <w:t xml:space="preserve">1 </w:t>
      </w:r>
      <w:r>
        <w:rPr>
          <w:rFonts w:ascii="宋体" w:hAnsi="宋体" w:eastAsia="宋体"/>
          <w:b/>
          <w:bCs/>
          <w:sz w:val="28"/>
          <w:szCs w:val="28"/>
        </w:rPr>
        <w:t>兽药的采购</w:t>
      </w:r>
    </w:p>
    <w:p>
      <w:pPr>
        <w:rPr>
          <w:rFonts w:ascii="宋体" w:hAnsi="宋体" w:eastAsia="宋体"/>
          <w:bCs/>
          <w:sz w:val="28"/>
          <w:szCs w:val="28"/>
        </w:rPr>
      </w:pPr>
      <w:r>
        <w:rPr>
          <w:rFonts w:hint="eastAsia" w:ascii="宋体" w:hAnsi="宋体" w:eastAsia="宋体"/>
          <w:bCs/>
          <w:sz w:val="28"/>
          <w:szCs w:val="28"/>
        </w:rPr>
        <w:t>1.1</w:t>
      </w:r>
      <w:r>
        <w:rPr>
          <w:rFonts w:hint="eastAsia" w:ascii="宋体" w:hAnsi="宋体" w:eastAsia="宋体"/>
          <w:bCs/>
          <w:sz w:val="28"/>
          <w:szCs w:val="28"/>
          <w:lang w:eastAsia="zh-CN"/>
        </w:rPr>
        <w:t>兽药的采购厂家具有</w:t>
      </w:r>
      <w:r>
        <w:rPr>
          <w:rFonts w:ascii="宋体" w:hAnsi="宋体" w:eastAsia="宋体"/>
          <w:bCs/>
          <w:sz w:val="28"/>
          <w:szCs w:val="28"/>
        </w:rPr>
        <w:t>生产、经营合法</w:t>
      </w:r>
      <w:r>
        <w:rPr>
          <w:rFonts w:hint="eastAsia" w:ascii="宋体" w:hAnsi="宋体" w:eastAsia="宋体"/>
          <w:bCs/>
          <w:sz w:val="28"/>
          <w:szCs w:val="28"/>
          <w:lang w:eastAsia="zh-CN"/>
        </w:rPr>
        <w:t>许可证明</w:t>
      </w:r>
      <w:r>
        <w:rPr>
          <w:rFonts w:ascii="宋体" w:hAnsi="宋体" w:eastAsia="宋体"/>
          <w:bCs/>
          <w:sz w:val="28"/>
          <w:szCs w:val="28"/>
        </w:rPr>
        <w:t>，兽药质量应符合国家兽药质量标准。</w:t>
      </w:r>
    </w:p>
    <w:p>
      <w:pPr>
        <w:rPr>
          <w:rFonts w:ascii="宋体" w:hAnsi="宋体" w:eastAsia="宋体"/>
          <w:bCs/>
          <w:sz w:val="28"/>
          <w:szCs w:val="28"/>
        </w:rPr>
      </w:pPr>
      <w:r>
        <w:rPr>
          <w:rFonts w:ascii="宋体" w:hAnsi="宋体" w:eastAsia="宋体"/>
          <w:bCs/>
          <w:sz w:val="28"/>
          <w:szCs w:val="28"/>
        </w:rPr>
        <w:t>1.2兽药产品</w:t>
      </w:r>
      <w:r>
        <w:rPr>
          <w:rFonts w:hint="eastAsia" w:ascii="宋体" w:hAnsi="宋体" w:eastAsia="宋体"/>
          <w:bCs/>
          <w:sz w:val="28"/>
          <w:szCs w:val="28"/>
          <w:lang w:eastAsia="zh-CN"/>
        </w:rPr>
        <w:t>须有</w:t>
      </w:r>
      <w:r>
        <w:rPr>
          <w:rFonts w:ascii="宋体" w:hAnsi="宋体" w:eastAsia="宋体"/>
          <w:bCs/>
          <w:sz w:val="28"/>
          <w:szCs w:val="28"/>
        </w:rPr>
        <w:t>内包装标签和外包装标签，内包装标签注明兽用标识、兽药名称、适应症、含量规格、批准文号或《进口兽药登记许可证》证号、生产日期、生产批号、有效期、生产企业信息等内容。安培、西林瓶等注射或内服产品至少应标明兽药名称、含量规格、生产批号。外包装标签应注明兽用标识、兽药名称、主要成分、适应症、用法与用量、含量规格、批准文号或《进口兽药登记许可证》证号、生产日期、生产批号、有效期、停药期、贮藏、包装数量、生产企业信息等内容。</w:t>
      </w:r>
    </w:p>
    <w:p>
      <w:pPr>
        <w:rPr>
          <w:rFonts w:ascii="宋体" w:hAnsi="宋体" w:eastAsia="宋体"/>
          <w:bCs/>
          <w:sz w:val="28"/>
          <w:szCs w:val="28"/>
        </w:rPr>
      </w:pPr>
      <w:r>
        <w:rPr>
          <w:rFonts w:ascii="宋体" w:hAnsi="宋体" w:eastAsia="宋体"/>
          <w:bCs/>
          <w:sz w:val="28"/>
          <w:szCs w:val="28"/>
        </w:rPr>
        <w:t>1.3应建立兽药购入台账，台账内容应包括兽药企业名称、兽药名称、剂型、规格、包装、批准文号、有效期、生产批号、入库数、库存数、商品名、通用名</w:t>
      </w:r>
      <w:r>
        <w:rPr>
          <w:rFonts w:hint="eastAsia" w:ascii="宋体" w:hAnsi="宋体" w:eastAsia="宋体"/>
          <w:bCs/>
          <w:sz w:val="28"/>
          <w:szCs w:val="28"/>
        </w:rPr>
        <w:t>、</w:t>
      </w:r>
      <w:r>
        <w:rPr>
          <w:rFonts w:ascii="宋体" w:hAnsi="宋体" w:eastAsia="宋体"/>
          <w:bCs/>
          <w:sz w:val="28"/>
          <w:szCs w:val="28"/>
        </w:rPr>
        <w:t>购入日期、购入数量、兽药经营门店、售货人和验收人等。</w:t>
      </w:r>
      <w:bookmarkStart w:id="0" w:name="_GoBack"/>
      <w:bookmarkEnd w:id="0"/>
    </w:p>
    <w:p>
      <w:pPr>
        <w:rPr>
          <w:rFonts w:ascii="宋体" w:hAnsi="宋体" w:eastAsia="宋体"/>
          <w:bCs/>
          <w:sz w:val="28"/>
          <w:szCs w:val="28"/>
        </w:rPr>
      </w:pPr>
      <w:r>
        <w:rPr>
          <w:rFonts w:ascii="宋体" w:hAnsi="宋体" w:eastAsia="宋体"/>
          <w:bCs/>
          <w:sz w:val="28"/>
          <w:szCs w:val="28"/>
        </w:rPr>
        <w:t>1.4 兽用麻醉药品、精神药品、毒性药品、放射性药品的来源、</w:t>
      </w:r>
      <w:r>
        <w:rPr>
          <w:rFonts w:hint="eastAsia" w:ascii="宋体" w:hAnsi="宋体" w:eastAsia="宋体"/>
          <w:bCs/>
          <w:sz w:val="28"/>
          <w:szCs w:val="28"/>
          <w:lang w:eastAsia="zh-CN"/>
        </w:rPr>
        <w:t>保存条件</w:t>
      </w:r>
      <w:r>
        <w:rPr>
          <w:rFonts w:ascii="宋体" w:hAnsi="宋体" w:eastAsia="宋体"/>
          <w:bCs/>
          <w:sz w:val="28"/>
          <w:szCs w:val="28"/>
        </w:rPr>
        <w:t>、使用</w:t>
      </w:r>
      <w:r>
        <w:rPr>
          <w:rFonts w:hint="eastAsia" w:ascii="宋体" w:hAnsi="宋体" w:eastAsia="宋体"/>
          <w:bCs/>
          <w:sz w:val="28"/>
          <w:szCs w:val="28"/>
          <w:lang w:eastAsia="zh-CN"/>
        </w:rPr>
        <w:t>方法</w:t>
      </w:r>
      <w:r>
        <w:rPr>
          <w:rFonts w:ascii="宋体" w:hAnsi="宋体" w:eastAsia="宋体"/>
          <w:bCs/>
          <w:sz w:val="28"/>
          <w:szCs w:val="28"/>
        </w:rPr>
        <w:t>应符合国家有关规定。</w:t>
      </w:r>
    </w:p>
    <w:p>
      <w:pPr>
        <w:rPr>
          <w:rFonts w:ascii="宋体" w:hAnsi="宋体" w:eastAsia="宋体"/>
          <w:bCs/>
          <w:sz w:val="28"/>
          <w:szCs w:val="28"/>
        </w:rPr>
      </w:pPr>
      <w:r>
        <w:rPr>
          <w:rFonts w:ascii="宋体" w:hAnsi="宋体" w:eastAsia="宋体"/>
          <w:bCs/>
          <w:sz w:val="28"/>
          <w:szCs w:val="28"/>
        </w:rPr>
        <w:t>1.5兽用生物制品应冷链运输。</w:t>
      </w:r>
    </w:p>
    <w:p>
      <w:pPr>
        <w:rPr>
          <w:rFonts w:ascii="宋体" w:hAnsi="宋体" w:eastAsia="宋体"/>
          <w:bCs/>
          <w:sz w:val="28"/>
          <w:szCs w:val="28"/>
        </w:rPr>
      </w:pPr>
      <w:r>
        <w:rPr>
          <w:rFonts w:ascii="宋体" w:hAnsi="宋体" w:eastAsia="宋体"/>
          <w:bCs/>
          <w:sz w:val="28"/>
          <w:szCs w:val="28"/>
        </w:rPr>
        <w:t>1.6不得购入人用药品及兽用原料药。</w:t>
      </w:r>
    </w:p>
    <w:p>
      <w:pPr>
        <w:rPr>
          <w:rFonts w:ascii="宋体" w:hAnsi="宋体" w:eastAsia="宋体"/>
          <w:bCs/>
          <w:sz w:val="28"/>
          <w:szCs w:val="28"/>
        </w:rPr>
      </w:pPr>
      <w:r>
        <w:rPr>
          <w:rFonts w:hint="eastAsia" w:ascii="宋体" w:hAnsi="宋体" w:eastAsia="宋体"/>
          <w:b/>
          <w:bCs/>
          <w:sz w:val="28"/>
          <w:szCs w:val="28"/>
        </w:rPr>
        <w:t>2</w:t>
      </w:r>
      <w:r>
        <w:rPr>
          <w:rFonts w:ascii="宋体" w:hAnsi="宋体" w:eastAsia="宋体"/>
          <w:b/>
          <w:bCs/>
          <w:sz w:val="28"/>
          <w:szCs w:val="28"/>
        </w:rPr>
        <w:t xml:space="preserve"> </w:t>
      </w:r>
      <w:r>
        <w:rPr>
          <w:rFonts w:hint="eastAsia" w:ascii="宋体" w:hAnsi="宋体" w:eastAsia="宋体"/>
          <w:b/>
          <w:bCs/>
          <w:sz w:val="28"/>
          <w:szCs w:val="28"/>
        </w:rPr>
        <w:t>兽药的质量检测</w:t>
      </w:r>
    </w:p>
    <w:p>
      <w:pPr>
        <w:ind w:firstLine="560" w:firstLineChars="200"/>
        <w:rPr>
          <w:rFonts w:ascii="宋体" w:hAnsi="宋体" w:eastAsia="宋体"/>
          <w:bCs/>
          <w:sz w:val="28"/>
          <w:szCs w:val="28"/>
        </w:rPr>
      </w:pPr>
      <w:r>
        <w:rPr>
          <w:rFonts w:hint="eastAsia" w:ascii="宋体" w:hAnsi="宋体" w:eastAsia="宋体"/>
          <w:bCs/>
          <w:sz w:val="28"/>
          <w:szCs w:val="28"/>
        </w:rPr>
        <w:t>兽药质量检验方法主要有性状、鉴别、检查、含量测定等项目，具体检查规程参照《中国兽药典》进行。</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.1</w:t>
      </w:r>
      <w:r>
        <w:rPr>
          <w:rFonts w:hint="eastAsia" w:ascii="宋体" w:hAnsi="宋体" w:eastAsia="宋体"/>
          <w:bCs/>
          <w:sz w:val="28"/>
          <w:szCs w:val="28"/>
        </w:rPr>
        <w:t>兽药取样</w:t>
      </w:r>
    </w:p>
    <w:p>
      <w:pPr>
        <w:ind w:firstLine="560" w:firstLineChars="200"/>
        <w:rPr>
          <w:rFonts w:ascii="宋体" w:hAnsi="宋体" w:eastAsia="宋体"/>
          <w:bCs/>
          <w:sz w:val="28"/>
          <w:szCs w:val="28"/>
        </w:rPr>
      </w:pPr>
      <w:r>
        <w:rPr>
          <w:rFonts w:hint="eastAsia" w:ascii="宋体" w:hAnsi="宋体" w:eastAsia="宋体"/>
          <w:bCs/>
          <w:sz w:val="28"/>
          <w:szCs w:val="28"/>
        </w:rPr>
        <w:t>按照规定方法对不同种类兽药取适量样品，标号待测。</w:t>
      </w:r>
    </w:p>
    <w:p>
      <w:pPr>
        <w:rPr>
          <w:rFonts w:ascii="宋体" w:hAnsi="宋体" w:eastAsia="宋体"/>
          <w:bCs/>
          <w:sz w:val="28"/>
          <w:szCs w:val="28"/>
        </w:rPr>
      </w:pPr>
      <w:r>
        <w:rPr>
          <w:rFonts w:hint="eastAsia" w:ascii="宋体" w:hAnsi="宋体" w:eastAsia="宋体"/>
          <w:bCs/>
          <w:sz w:val="28"/>
          <w:szCs w:val="28"/>
        </w:rPr>
        <w:t>2.2 外观检测</w:t>
      </w:r>
    </w:p>
    <w:p>
      <w:pPr>
        <w:ind w:firstLine="560" w:firstLineChars="200"/>
        <w:rPr>
          <w:rFonts w:ascii="宋体" w:hAnsi="宋体" w:eastAsia="宋体"/>
          <w:bCs/>
          <w:sz w:val="28"/>
          <w:szCs w:val="28"/>
        </w:rPr>
      </w:pPr>
      <w:r>
        <w:rPr>
          <w:rFonts w:hint="eastAsia" w:ascii="宋体" w:hAnsi="宋体" w:eastAsia="宋体"/>
          <w:bCs/>
          <w:sz w:val="28"/>
          <w:szCs w:val="28"/>
        </w:rPr>
        <w:t>从外观、颜色、气味、颗粒感官等方面对比兽药与合格品是否有差别。通过人的眼、鼻、口等感观器官从兽药的外观、色泽、气味、味道、晶型等对兽药进行初步判别。</w:t>
      </w:r>
    </w:p>
    <w:p>
      <w:pPr>
        <w:rPr>
          <w:rFonts w:ascii="宋体" w:hAnsi="宋体" w:eastAsia="宋体"/>
          <w:bCs/>
          <w:sz w:val="28"/>
          <w:szCs w:val="28"/>
        </w:rPr>
      </w:pPr>
      <w:r>
        <w:rPr>
          <w:rFonts w:hint="eastAsia" w:ascii="宋体" w:hAnsi="宋体" w:eastAsia="宋体"/>
          <w:bCs/>
          <w:sz w:val="28"/>
          <w:szCs w:val="28"/>
        </w:rPr>
        <w:t>2.3 理化性质检测</w:t>
      </w:r>
    </w:p>
    <w:p>
      <w:pPr>
        <w:ind w:firstLine="560" w:firstLineChars="200"/>
        <w:rPr>
          <w:rFonts w:ascii="宋体" w:hAnsi="宋体" w:eastAsia="宋体"/>
          <w:bCs/>
          <w:sz w:val="28"/>
          <w:szCs w:val="28"/>
        </w:rPr>
      </w:pPr>
      <w:r>
        <w:rPr>
          <w:rFonts w:hint="eastAsia" w:ascii="宋体" w:hAnsi="宋体" w:eastAsia="宋体"/>
          <w:bCs/>
          <w:sz w:val="28"/>
          <w:szCs w:val="28"/>
        </w:rPr>
        <w:t>根据理化性质，通过物理常数如溶解度、熔点、比旋度的测定等对兽药进行初步判别。</w:t>
      </w:r>
    </w:p>
    <w:p>
      <w:pPr>
        <w:rPr>
          <w:rFonts w:ascii="宋体" w:hAnsi="宋体" w:eastAsia="宋体"/>
          <w:bCs/>
          <w:sz w:val="28"/>
          <w:szCs w:val="28"/>
        </w:rPr>
      </w:pPr>
      <w:r>
        <w:rPr>
          <w:rFonts w:hint="eastAsia" w:ascii="宋体" w:hAnsi="宋体" w:eastAsia="宋体"/>
          <w:bCs/>
          <w:sz w:val="28"/>
          <w:szCs w:val="28"/>
        </w:rPr>
        <w:t>2.4 化学反应检测</w:t>
      </w:r>
    </w:p>
    <w:p>
      <w:pPr>
        <w:ind w:firstLine="560" w:firstLineChars="200"/>
      </w:pPr>
      <w:r>
        <w:rPr>
          <w:rFonts w:hint="eastAsia" w:ascii="宋体" w:hAnsi="宋体" w:eastAsia="宋体"/>
          <w:bCs/>
          <w:sz w:val="28"/>
          <w:szCs w:val="28"/>
        </w:rPr>
        <w:t>依据各兽药的化学结构不同与之进行的化学反应各不相同的特点来进行兽药真伪的判断。同时，可根据不同的兽药有其不同的红外吸收光谱、紫外光图谱及薄层层析等方法来判断兽药的真伪。</w:t>
      </w:r>
    </w:p>
    <w:p>
      <w:pPr>
        <w:ind w:firstLine="560" w:firstLineChars="200"/>
        <w:rPr>
          <w:rFonts w:ascii="宋体" w:hAnsi="宋体" w:eastAsia="宋体"/>
          <w:bCs/>
          <w:sz w:val="28"/>
          <w:szCs w:val="28"/>
        </w:rPr>
      </w:pPr>
      <w:r>
        <w:rPr>
          <w:rFonts w:hint="eastAsia" w:ascii="宋体" w:hAnsi="宋体" w:eastAsia="宋体"/>
          <w:bCs/>
          <w:sz w:val="28"/>
          <w:szCs w:val="28"/>
        </w:rPr>
        <w:t>通常不同制剂要求的检查项目不同。如针剂一般要检查澄明度、装量、pH值、重金属等</w:t>
      </w:r>
      <w:r>
        <w:rPr>
          <w:rFonts w:hint="eastAsia" w:ascii="宋体" w:hAnsi="宋体" w:eastAsia="宋体"/>
          <w:bCs/>
          <w:sz w:val="28"/>
          <w:szCs w:val="28"/>
          <w:lang w:eastAsia="zh-CN"/>
        </w:rPr>
        <w:t>检测</w:t>
      </w:r>
      <w:r>
        <w:rPr>
          <w:rFonts w:hint="eastAsia" w:ascii="宋体" w:hAnsi="宋体" w:eastAsia="宋体"/>
          <w:bCs/>
          <w:sz w:val="28"/>
          <w:szCs w:val="28"/>
        </w:rPr>
        <w:t>项目，片剂则要求检查重量差异、崩解时限等。</w:t>
      </w:r>
    </w:p>
    <w:p>
      <w:pPr>
        <w:ind w:firstLine="560" w:firstLineChars="200"/>
        <w:rPr>
          <w:rFonts w:ascii="宋体" w:hAnsi="宋体" w:eastAsia="宋体"/>
          <w:bCs/>
          <w:sz w:val="28"/>
          <w:szCs w:val="28"/>
        </w:rPr>
      </w:pPr>
      <w:r>
        <w:rPr>
          <w:rFonts w:hint="eastAsia" w:ascii="宋体" w:hAnsi="宋体" w:eastAsia="宋体"/>
          <w:bCs/>
          <w:sz w:val="28"/>
          <w:szCs w:val="28"/>
        </w:rPr>
        <w:t>含量测定一般采用化学分析或理化分析方法，如容量分析、重量分析、紫外分光光度法、高效液相色谱法等方法，能准确地测定出兽药的有效成分是否符合规定的含量标准。</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rPr>
        <w:t>5 检测记录</w:t>
      </w:r>
    </w:p>
    <w:p>
      <w:pPr>
        <w:ind w:firstLine="560" w:firstLineChars="200"/>
        <w:rPr>
          <w:rFonts w:ascii="宋体" w:hAnsi="宋体" w:eastAsia="宋体"/>
          <w:b/>
          <w:bCs/>
          <w:sz w:val="28"/>
          <w:szCs w:val="28"/>
        </w:rPr>
      </w:pPr>
      <w:r>
        <w:rPr>
          <w:rFonts w:hint="eastAsia" w:ascii="宋体" w:hAnsi="宋体" w:eastAsia="宋体"/>
          <w:bCs/>
          <w:sz w:val="28"/>
          <w:szCs w:val="28"/>
        </w:rPr>
        <w:t>取样、检查、检测过程应有记录，偏差应经过调查并记录。检测样品需留样。</w:t>
      </w:r>
    </w:p>
    <w:p>
      <w:pPr>
        <w:rPr>
          <w:rFonts w:ascii="宋体" w:hAnsi="宋体" w:eastAsia="宋体"/>
          <w:b/>
          <w:bCs/>
          <w:sz w:val="28"/>
          <w:szCs w:val="28"/>
        </w:rPr>
      </w:pPr>
      <w:r>
        <w:rPr>
          <w:rFonts w:hint="eastAsia" w:ascii="宋体" w:hAnsi="宋体" w:eastAsia="宋体"/>
          <w:b/>
          <w:bCs/>
          <w:sz w:val="28"/>
          <w:szCs w:val="28"/>
        </w:rPr>
        <w:t>3</w:t>
      </w:r>
      <w:r>
        <w:rPr>
          <w:rFonts w:ascii="宋体" w:hAnsi="宋体" w:eastAsia="宋体"/>
          <w:b/>
          <w:bCs/>
          <w:sz w:val="28"/>
          <w:szCs w:val="28"/>
        </w:rPr>
        <w:t xml:space="preserve"> 相关人员操作</w:t>
      </w:r>
    </w:p>
    <w:p>
      <w:pPr>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.1兽药使用记录</w:t>
      </w:r>
    </w:p>
    <w:p>
      <w:pPr>
        <w:ind w:firstLine="560" w:firstLineChars="200"/>
        <w:rPr>
          <w:rFonts w:ascii="宋体" w:hAnsi="宋体" w:eastAsia="宋体"/>
          <w:bCs/>
          <w:sz w:val="28"/>
          <w:szCs w:val="28"/>
        </w:rPr>
      </w:pPr>
      <w:r>
        <w:rPr>
          <w:rFonts w:hint="eastAsia" w:ascii="宋体" w:hAnsi="宋体" w:eastAsia="宋体"/>
          <w:bCs/>
          <w:sz w:val="28"/>
          <w:szCs w:val="28"/>
        </w:rPr>
        <w:t>应建立兽药使用记录，记录应包括兽药商品名、通用名、剂型、规格、批号、生产日期、有效期、</w:t>
      </w:r>
      <w:r>
        <w:rPr>
          <w:rFonts w:ascii="宋体" w:hAnsi="宋体" w:eastAsia="宋体"/>
          <w:bCs/>
          <w:sz w:val="28"/>
          <w:szCs w:val="28"/>
        </w:rPr>
        <w:t>生产企业名称、使用地点、使用日期、使用对象、使用数量、使用剂量、使用人、休药期执行情况及处方原件或复印件等，所有记录应保存2年以上。</w:t>
      </w:r>
    </w:p>
    <w:p>
      <w:pPr>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.2不良反应记录</w:t>
      </w:r>
    </w:p>
    <w:p>
      <w:pPr>
        <w:ind w:firstLine="560" w:firstLineChars="200"/>
        <w:rPr>
          <w:rFonts w:ascii="宋体" w:hAnsi="宋体" w:eastAsia="宋体"/>
          <w:bCs/>
          <w:sz w:val="28"/>
          <w:szCs w:val="28"/>
        </w:rPr>
      </w:pPr>
      <w:r>
        <w:rPr>
          <w:rFonts w:hint="eastAsia" w:ascii="宋体" w:hAnsi="宋体" w:eastAsia="宋体"/>
          <w:bCs/>
          <w:sz w:val="28"/>
          <w:szCs w:val="28"/>
        </w:rPr>
        <w:t>使用兽药的相关人员应做好不良反应记录，建立健全药品不良反应监测体系。若有不良反应发生，应立即报告。</w:t>
      </w:r>
    </w:p>
    <w:p>
      <w:pPr>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.3兽药使用人员基本素质</w:t>
      </w:r>
    </w:p>
    <w:p>
      <w:pPr>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.3.</w:t>
      </w:r>
      <w:r>
        <w:rPr>
          <w:rFonts w:hint="eastAsia" w:ascii="宋体" w:hAnsi="宋体" w:eastAsia="宋体"/>
          <w:bCs/>
          <w:sz w:val="28"/>
          <w:szCs w:val="28"/>
        </w:rPr>
        <w:t>1</w:t>
      </w:r>
      <w:r>
        <w:rPr>
          <w:rFonts w:ascii="宋体" w:hAnsi="宋体" w:eastAsia="宋体"/>
          <w:bCs/>
          <w:sz w:val="28"/>
          <w:szCs w:val="28"/>
        </w:rPr>
        <w:t>应建立兽医室，</w:t>
      </w:r>
      <w:r>
        <w:rPr>
          <w:rFonts w:hint="eastAsia" w:ascii="宋体" w:hAnsi="宋体" w:eastAsia="宋体"/>
          <w:bCs/>
          <w:sz w:val="28"/>
          <w:szCs w:val="28"/>
        </w:rPr>
        <w:t>负责</w:t>
      </w:r>
      <w:r>
        <w:rPr>
          <w:rFonts w:ascii="宋体" w:hAnsi="宋体" w:eastAsia="宋体"/>
          <w:bCs/>
          <w:sz w:val="28"/>
          <w:szCs w:val="28"/>
        </w:rPr>
        <w:t>本场生猪疾病预防、诊断与治疗和兽用药品管理。</w:t>
      </w:r>
    </w:p>
    <w:p>
      <w:pPr>
        <w:rPr>
          <w:rFonts w:ascii="宋体" w:hAnsi="宋体" w:eastAsia="宋体"/>
          <w:bCs/>
          <w:sz w:val="28"/>
          <w:szCs w:val="28"/>
        </w:rPr>
      </w:pPr>
      <w:r>
        <w:rPr>
          <w:rFonts w:hint="eastAsia" w:ascii="宋体" w:hAnsi="宋体" w:eastAsia="宋体"/>
          <w:bCs/>
          <w:sz w:val="28"/>
          <w:szCs w:val="28"/>
        </w:rPr>
        <w:t>3</w:t>
      </w:r>
      <w:r>
        <w:rPr>
          <w:rFonts w:ascii="宋体" w:hAnsi="宋体" w:eastAsia="宋体"/>
          <w:bCs/>
          <w:sz w:val="28"/>
          <w:szCs w:val="28"/>
        </w:rPr>
        <w:t>.3.</w:t>
      </w:r>
      <w:r>
        <w:rPr>
          <w:rFonts w:hint="eastAsia" w:ascii="宋体" w:hAnsi="宋体" w:eastAsia="宋体"/>
          <w:bCs/>
          <w:sz w:val="28"/>
          <w:szCs w:val="28"/>
        </w:rPr>
        <w:t>2</w:t>
      </w:r>
      <w:r>
        <w:rPr>
          <w:rFonts w:ascii="宋体" w:hAnsi="宋体" w:eastAsia="宋体"/>
          <w:bCs/>
          <w:sz w:val="28"/>
          <w:szCs w:val="28"/>
        </w:rPr>
        <w:t>从事兽药购进、验收、保管、分发的人员应经岗位知识培训、熟悉国家兽药管理的法律法规和兽药相关知识。</w:t>
      </w:r>
    </w:p>
    <w:p>
      <w:pPr>
        <w:pStyle w:val="15"/>
        <w:numPr>
          <w:ilvl w:val="0"/>
          <w:numId w:val="1"/>
        </w:numPr>
        <w:ind w:firstLineChars="0"/>
        <w:rPr>
          <w:rFonts w:ascii="宋体" w:hAnsi="宋体" w:eastAsia="宋体"/>
          <w:b/>
          <w:bCs/>
          <w:sz w:val="28"/>
          <w:szCs w:val="28"/>
        </w:rPr>
      </w:pPr>
      <w:r>
        <w:rPr>
          <w:rFonts w:hint="eastAsia" w:ascii="宋体" w:hAnsi="宋体" w:eastAsia="宋体"/>
          <w:b/>
          <w:bCs/>
          <w:sz w:val="28"/>
          <w:szCs w:val="28"/>
        </w:rPr>
        <w:t>适用范围</w:t>
      </w:r>
    </w:p>
    <w:p>
      <w:pPr>
        <w:ind w:firstLine="560" w:firstLineChars="200"/>
        <w:rPr>
          <w:rFonts w:ascii="宋体" w:hAnsi="宋体" w:eastAsia="宋体"/>
          <w:sz w:val="28"/>
          <w:szCs w:val="28"/>
        </w:rPr>
      </w:pPr>
      <w:r>
        <w:rPr>
          <w:rFonts w:hint="eastAsia" w:ascii="宋体" w:hAnsi="宋体" w:eastAsia="宋体"/>
          <w:sz w:val="28"/>
          <w:szCs w:val="28"/>
        </w:rPr>
        <w:t>适用于各个规模猪场以及各生产阶段的猪。</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43DCC"/>
    <w:multiLevelType w:val="multilevel"/>
    <w:tmpl w:val="2C143DC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2E28"/>
    <w:rsid w:val="0001174A"/>
    <w:rsid w:val="00251CB1"/>
    <w:rsid w:val="002E399E"/>
    <w:rsid w:val="00350779"/>
    <w:rsid w:val="00461101"/>
    <w:rsid w:val="004C200C"/>
    <w:rsid w:val="00617CCB"/>
    <w:rsid w:val="007B135C"/>
    <w:rsid w:val="007E0CCB"/>
    <w:rsid w:val="0089732A"/>
    <w:rsid w:val="00900BC6"/>
    <w:rsid w:val="009822C4"/>
    <w:rsid w:val="0098315F"/>
    <w:rsid w:val="009A518C"/>
    <w:rsid w:val="00A41A42"/>
    <w:rsid w:val="00AD4088"/>
    <w:rsid w:val="00AF5F81"/>
    <w:rsid w:val="00B67978"/>
    <w:rsid w:val="00BE4A09"/>
    <w:rsid w:val="00CA1556"/>
    <w:rsid w:val="00D84C07"/>
    <w:rsid w:val="00E12E28"/>
    <w:rsid w:val="00E92332"/>
    <w:rsid w:val="00FC5E8D"/>
    <w:rsid w:val="032E54CD"/>
    <w:rsid w:val="03401520"/>
    <w:rsid w:val="07E4472C"/>
    <w:rsid w:val="086B61DD"/>
    <w:rsid w:val="0CEE0392"/>
    <w:rsid w:val="0DAE3BC2"/>
    <w:rsid w:val="0E07592F"/>
    <w:rsid w:val="10F10E2C"/>
    <w:rsid w:val="11B1004F"/>
    <w:rsid w:val="11F71927"/>
    <w:rsid w:val="13210DF2"/>
    <w:rsid w:val="136D4232"/>
    <w:rsid w:val="151060E9"/>
    <w:rsid w:val="16112ECE"/>
    <w:rsid w:val="162D34A6"/>
    <w:rsid w:val="16A01546"/>
    <w:rsid w:val="192B28EA"/>
    <w:rsid w:val="1A656449"/>
    <w:rsid w:val="1BF73063"/>
    <w:rsid w:val="1C822A78"/>
    <w:rsid w:val="1D8A4CBE"/>
    <w:rsid w:val="1ECF714E"/>
    <w:rsid w:val="23D6342C"/>
    <w:rsid w:val="26827F06"/>
    <w:rsid w:val="27376DA4"/>
    <w:rsid w:val="291738DB"/>
    <w:rsid w:val="2C0D0353"/>
    <w:rsid w:val="2C9971CA"/>
    <w:rsid w:val="2EC51626"/>
    <w:rsid w:val="2F1C2E88"/>
    <w:rsid w:val="30004F7A"/>
    <w:rsid w:val="30624CC0"/>
    <w:rsid w:val="310F33D7"/>
    <w:rsid w:val="31FF43EC"/>
    <w:rsid w:val="34D67F55"/>
    <w:rsid w:val="3797797B"/>
    <w:rsid w:val="387E1485"/>
    <w:rsid w:val="3951570F"/>
    <w:rsid w:val="4374311A"/>
    <w:rsid w:val="458C0E9A"/>
    <w:rsid w:val="460327B9"/>
    <w:rsid w:val="47E24CAD"/>
    <w:rsid w:val="4BFE69F0"/>
    <w:rsid w:val="4E2E2111"/>
    <w:rsid w:val="4F172821"/>
    <w:rsid w:val="5040582F"/>
    <w:rsid w:val="51FA3063"/>
    <w:rsid w:val="532B17DC"/>
    <w:rsid w:val="577771CC"/>
    <w:rsid w:val="57E37ADD"/>
    <w:rsid w:val="581F2009"/>
    <w:rsid w:val="58AE7311"/>
    <w:rsid w:val="59124F60"/>
    <w:rsid w:val="5E661CEF"/>
    <w:rsid w:val="5FD9240F"/>
    <w:rsid w:val="61436890"/>
    <w:rsid w:val="64834ED5"/>
    <w:rsid w:val="66595BFD"/>
    <w:rsid w:val="68A56C05"/>
    <w:rsid w:val="6B773A55"/>
    <w:rsid w:val="6C691066"/>
    <w:rsid w:val="6CE61FFE"/>
    <w:rsid w:val="6D063BAA"/>
    <w:rsid w:val="6E382CC3"/>
    <w:rsid w:val="701E3D3F"/>
    <w:rsid w:val="71841A04"/>
    <w:rsid w:val="724B5609"/>
    <w:rsid w:val="73DC12E1"/>
    <w:rsid w:val="73E7002C"/>
    <w:rsid w:val="746243D0"/>
    <w:rsid w:val="7C3C16B5"/>
    <w:rsid w:val="7D803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7">
    <w:name w:val="Normal (Web)"/>
    <w:basedOn w:val="1"/>
    <w:qFormat/>
    <w:uiPriority w:val="0"/>
    <w:rPr>
      <w:sz w:val="24"/>
    </w:rPr>
  </w:style>
  <w:style w:type="paragraph" w:styleId="8">
    <w:name w:val="annotation subject"/>
    <w:basedOn w:val="2"/>
    <w:next w:val="2"/>
    <w:link w:val="18"/>
    <w:semiHidden/>
    <w:unhideWhenUsed/>
    <w:qFormat/>
    <w:uiPriority w:val="99"/>
    <w:rPr>
      <w:b/>
      <w:bCs/>
    </w:rPr>
  </w:style>
  <w:style w:type="character" w:styleId="11">
    <w:name w:val="Hyperlink"/>
    <w:basedOn w:val="10"/>
    <w:qFormat/>
    <w:uiPriority w:val="0"/>
    <w:rPr>
      <w:color w:val="202020"/>
      <w:u w:val="non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bsharetext"/>
    <w:basedOn w:val="10"/>
    <w:qFormat/>
    <w:uiPriority w:val="0"/>
  </w:style>
  <w:style w:type="character" w:customStyle="1" w:styleId="17">
    <w:name w:val="批注文字 Char"/>
    <w:basedOn w:val="10"/>
    <w:link w:val="2"/>
    <w:semiHidden/>
    <w:qFormat/>
    <w:uiPriority w:val="99"/>
    <w:rPr>
      <w:rFonts w:asciiTheme="minorHAnsi" w:hAnsiTheme="minorHAnsi" w:eastAsiaTheme="minorEastAsia" w:cstheme="minorBidi"/>
      <w:kern w:val="2"/>
      <w:sz w:val="21"/>
      <w:szCs w:val="24"/>
    </w:rPr>
  </w:style>
  <w:style w:type="character" w:customStyle="1" w:styleId="18">
    <w:name w:val="批注主题 Char"/>
    <w:basedOn w:val="17"/>
    <w:link w:val="8"/>
    <w:semiHidden/>
    <w:qFormat/>
    <w:uiPriority w:val="99"/>
    <w:rPr>
      <w:b/>
      <w:bCs/>
    </w:rPr>
  </w:style>
  <w:style w:type="character" w:customStyle="1" w:styleId="19">
    <w:name w:val="批注框文本 Char"/>
    <w:basedOn w:val="10"/>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206</Words>
  <Characters>1179</Characters>
  <Lines>9</Lines>
  <Paragraphs>2</Paragraphs>
  <TotalTime>18</TotalTime>
  <ScaleCrop>false</ScaleCrop>
  <LinksUpToDate>false</LinksUpToDate>
  <CharactersWithSpaces>1383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2019-11-09T06:43:00Z</dcterms:created>
  <dc:creator>admin</dc:creator>
  <cp:lastModifiedBy>温眸</cp:lastModifiedBy>
  <dcterms:modified xsi:type="dcterms:W3CDTF">2020-03-05T02:45:33Z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