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猪场疫苗使用技术规程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》编制说明</w:t>
      </w:r>
    </w:p>
    <w:p>
      <w:pPr>
        <w:rPr>
          <w:rFonts w:ascii="宋体" w:hAnsi="宋体" w:eastAsia="宋体-简" w:cs="Times New Roman"/>
          <w:b/>
          <w:bCs/>
          <w:sz w:val="28"/>
          <w:szCs w:val="28"/>
        </w:rPr>
      </w:pPr>
      <w:r>
        <w:rPr>
          <w:rFonts w:hint="eastAsia" w:ascii="宋体" w:hAnsi="宋体" w:eastAsia="宋体-简" w:cs="Times New Roman"/>
          <w:b/>
          <w:bCs/>
          <w:sz w:val="28"/>
          <w:szCs w:val="28"/>
        </w:rPr>
        <w:t>一、</w:t>
      </w:r>
      <w:r>
        <w:rPr>
          <w:rFonts w:ascii="宋体" w:hAnsi="宋体" w:eastAsia="宋体-简" w:cs="Times New Roman"/>
          <w:b/>
          <w:bCs/>
          <w:sz w:val="28"/>
          <w:szCs w:val="28"/>
        </w:rPr>
        <w:t>标准主要技术内容</w:t>
      </w:r>
      <w:r>
        <w:rPr>
          <w:rFonts w:hint="eastAsia" w:ascii="宋体" w:hAnsi="宋体" w:eastAsia="宋体-简" w:cs="Times New Roman"/>
          <w:b/>
          <w:bCs/>
          <w:sz w:val="28"/>
          <w:szCs w:val="28"/>
        </w:rPr>
        <w:t>与使用方法及范围</w:t>
      </w:r>
    </w:p>
    <w:p>
      <w:pPr>
        <w:spacing w:line="360" w:lineRule="auto"/>
        <w:jc w:val="left"/>
        <w:rPr>
          <w:rFonts w:hint="eastAsia" w:eastAsia="宋体-简" w:cs="Times New Roman"/>
          <w:b w:val="0"/>
          <w:bCs w:val="0"/>
          <w:color w:val="000000"/>
          <w:sz w:val="28"/>
          <w:szCs w:val="28"/>
        </w:rPr>
      </w:pPr>
      <w:r>
        <w:rPr>
          <w:rFonts w:hint="eastAsia" w:eastAsia="宋体-简" w:cs="Times New Roman"/>
          <w:b w:val="0"/>
          <w:bCs w:val="0"/>
          <w:color w:val="000000"/>
          <w:sz w:val="28"/>
          <w:szCs w:val="28"/>
        </w:rPr>
        <w:t>本标准适用于</w:t>
      </w:r>
      <w:r>
        <w:rPr>
          <w:rFonts w:eastAsia="宋体-简" w:cs="Times New Roman"/>
          <w:b w:val="0"/>
          <w:bCs w:val="0"/>
          <w:color w:val="000000"/>
          <w:sz w:val="28"/>
          <w:szCs w:val="28"/>
        </w:rPr>
        <w:t>生猪的免疫</w:t>
      </w:r>
      <w:r>
        <w:rPr>
          <w:rFonts w:hint="eastAsia" w:eastAsia="宋体-简" w:cs="Times New Roman"/>
          <w:b w:val="0"/>
          <w:bCs w:val="0"/>
          <w:color w:val="000000"/>
          <w:sz w:val="28"/>
          <w:szCs w:val="28"/>
        </w:rPr>
        <w:t>。</w:t>
      </w:r>
    </w:p>
    <w:p>
      <w:pPr>
        <w:spacing w:line="360" w:lineRule="auto"/>
        <w:jc w:val="left"/>
        <w:rPr>
          <w:rFonts w:eastAsia="宋体-简" w:cs="Times New Roman"/>
          <w:b w:val="0"/>
          <w:bCs w:val="0"/>
          <w:color w:val="000000"/>
          <w:sz w:val="28"/>
          <w:szCs w:val="28"/>
        </w:rPr>
      </w:pPr>
      <w:r>
        <w:rPr>
          <w:rFonts w:hint="eastAsia" w:eastAsia="宋体-简" w:cs="Times New Roman"/>
          <w:b w:val="0"/>
          <w:bCs w:val="0"/>
          <w:color w:val="000000"/>
          <w:sz w:val="28"/>
          <w:szCs w:val="28"/>
        </w:rPr>
        <w:t>本标准规定了</w:t>
      </w:r>
      <w:r>
        <w:rPr>
          <w:rFonts w:eastAsia="宋体-简" w:cs="Times New Roman"/>
          <w:b w:val="0"/>
          <w:bCs w:val="0"/>
          <w:color w:val="000000"/>
          <w:sz w:val="28"/>
          <w:szCs w:val="28"/>
        </w:rPr>
        <w:t>猪主要传染病免疫程序、免疫操作方法、免疫后注意事项、免疫技术要求及免疫应激反应处置</w:t>
      </w:r>
      <w:r>
        <w:rPr>
          <w:rFonts w:hint="eastAsia" w:eastAsia="宋体-简" w:cs="Times New Roman"/>
          <w:b w:val="0"/>
          <w:bCs w:val="0"/>
          <w:color w:val="000000"/>
          <w:sz w:val="28"/>
          <w:szCs w:val="28"/>
        </w:rPr>
        <w:t>。</w:t>
      </w:r>
    </w:p>
    <w:p>
      <w:pPr>
        <w:pStyle w:val="5"/>
        <w:widowControl/>
        <w:spacing w:line="360" w:lineRule="auto"/>
        <w:rPr>
          <w:rFonts w:hint="eastAsia"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-简" w:cs="Times New Roman"/>
          <w:b/>
          <w:bCs/>
          <w:sz w:val="28"/>
          <w:szCs w:val="28"/>
        </w:rPr>
        <w:t>（一）</w:t>
      </w:r>
      <w:r>
        <w:rPr>
          <w:rFonts w:hint="eastAsia" w:ascii="Times New Roman" w:hAnsi="Times New Roman" w:eastAsia="宋体-简" w:cs="Times New Roman"/>
          <w:b/>
          <w:bCs/>
          <w:sz w:val="28"/>
          <w:szCs w:val="28"/>
        </w:rPr>
        <w:t>推荐免疫程序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1、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 xml:space="preserve"> 育肥猪(仔猪)的免疫程序如下: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a) 0日龄时，可选择猪伪狂犬基因缺失弱毒疫苗滴鼻(起免疫净化作用),在母猪猪瘟带毒严重的猪场，可在仔猪哺乳前2h注射猪瘟弱毒疫苗；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b)达到7日龄时，注射气喘病灭活苗；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c)达到 15日龄时，注射高致病性猪蓝耳病弱毒疫苗；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I) 达到20日龄时，注射猪瘟疫苗、气喘病灭活苗；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e)达到 25日龄时，可选择免疫注射圆环病毒灭活疫苗、猪传染性胸膜肺炎灭活疫苗、杆菌灭活疫苗；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f)达到28~30日龄时注射口蹄疫灭活疫苗/合成肽疫苗、链球菌II型灭活疫苗(可选择免疫)；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g）达到30~35日龄时，注射高致病性猪蓝耳病弱毒疫苗、仔猪副伤寒弱毒疫苗(可选择免疫)；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h)达到 40~42日龄时，注射猪伪狂犬基因缺失弱毒疫苗、可选择免疫注射猪丹毒疫苗、猪肺疫疫苗或猪丹毒-猪肺疫二联苗、传染性萎缩性鼻炎灭活疫苗；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i)达到 55日龄时，注射猪瘟弱毒疫苗、副猪嗜血杆菌灭活疫苗(可选择免疫)；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j)达到60日龄时，注射口蹄疫灭活疫苗/合成肽疫苗、链球菌II型灭活疫苗(可选择免疫)；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k)达到70日龄时，可选择免疫注射猪丹毒疫苗、猪肺疫疫苗或猪丹毒—猪肺疫二联苗、传染性萎缩性鼻炎灭活疫苗。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2、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种母猪的免疫程序如下: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a) 70日龄前免疫程序同育肥猪；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b)初产母猪配种前，注射猪瘟弱毒疫苗、高致病性猪蓝耳病弱毒疫苗、猪伪狂犬基因缺失弱毒疫苗、细小病毒灭活疫苗；产前4~6周注射猪伪狂犬基因缺失弱毒疫苗；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c)产前4~6周，注射传染性胃肠炎-流行性腹泻二联苗、传染性萎缩性鼻炎灭活疫苗(可选择免疫)、大肠杆菌双价基因工程苗(可选择免疫) 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d)每隔4~6个月，注射高致病性猪蓝耳病弱毒疫苗、猪瘟弱毒疫苗各一次；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e)每隔3~4个月，注射口蹄疫灭活疫苗/合成肽疫苗、猪伪狂犬基因缺失弱毒疫苗各一次；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f)每年3~5月份，乙型脑炎流行或受威胁地区，注射乙型脑炎疫苗，间 一个月再加强免疫一次。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3、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种公猪的免疫程序如下: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a) 70日龄前免疫程序同育肥猪；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b)每隔4~6个月，注射高致病性猪蓝耳病灭活疫苗、猪瘟弱毒疫苗各一次；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c)每隔3~4 个月，注射口蹄疫灭活疫苗/合成肽疫苗、猪伪狂犬基因缺失弱毒疫苗各一次；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d)每年3~5 月份，乙型脑炎流行或受威胁地区，注射乙型脑炎疫苗，间隔一个月再加强免疫一次。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（二）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免疫操作方法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1、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保定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对要进行免疫注射的猪进行保定。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2、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选定注射部位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颈部耳后2cm~9cm 处或臀部肌肉丰富部位。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3、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注射部位消毒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先用75%的酒精、再用5%的碘酊消毒。对注射部位由内及外消毒。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4、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疫苗的预温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接种前将疫苗升至室温。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5、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疫苗的稀释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</w:rPr>
        <w:t>对需要稀释的疫苗，先将疫苗的瓶口用75%的酒精消毒，再按照使用说明书要求的配比用专用稀释液进行稀释。稀释前将疫苗和稀释液一起在室温下放置3～5分钟，避免稀释时两者温差太大。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</w:rPr>
        <w:t>6、</w:t>
      </w:r>
      <w:r>
        <w:rPr>
          <w:rFonts w:ascii="Times New Roman" w:hAnsi="Times New Roman" w:eastAsia="宋体-简" w:cs="Times New Roman"/>
          <w:b/>
          <w:bCs/>
          <w:sz w:val="28"/>
          <w:szCs w:val="28"/>
        </w:rPr>
        <w:t>免疫接种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用消毒好的注射器(或连续注射器)将配备好的疫苗按照疫苗使用说明书要求的剂量注入猪体适宜部位。疫苗启封后，弱毒疫苗应于2-4h、灭活疫苗应于24h内用完，并注意避免阳光直射，如果注射时间偏长，则疫苗应放在有冰块的保温箱内。高温季节注射疫苗应在上午10点前或下午4点后进行；电子饲喂站应在晚上进行，以减小应激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（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三）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免疫后注意事项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1、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做好记录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每批猪注射疫苗后，要做好免疫记录，防疫查询记录等。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2、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器械消毒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使用过的注射器、针头等要高温蒸煮消毒。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3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、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废弃物处理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失效、作废疫苗，用过的疫苗瓶，稀释液等不能随意倾倒，应通过消毒剂浸泡，加热煮沸，烧毁深埋等方式妥善处理。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4、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抗体监测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接种疫苗后，可以针对性进行采血，监测抗体产生情况。接种后，一般活苗14天，灭活苗21天获得免疫保护。</w:t>
      </w: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</w:p>
    <w:p>
      <w:pPr>
        <w:pStyle w:val="5"/>
        <w:widowControl/>
        <w:spacing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（四）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免疫技术要求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1、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猪在临床健康的情况下才能免疫。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2、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必须使用经国家批准生产或已注册的疫苗，并做好疫苗管理，按照疫苗保存条件进行贮存和运输。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3、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免疫接种时应按照疫苗产品说明书要求规范操作，并对废弃物进行无害化处理。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4、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免疫时要做到“一猪一针头”，防止交叉感染。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5、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经监测，免疫抗体合格率达不到规定要求时，尽快实施补免疫。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6、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建立完整的免疫档案。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7、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进行弱毒疫苗免疫时，尽量与使用抗生素分开。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8、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免疫接种前后应尽量避免一些剧烈操作，如转群，采血等，防止猪群处于应激状态，影响免疫效果。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</w:pP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（五）</w:t>
      </w:r>
      <w:r>
        <w:rPr>
          <w:rFonts w:ascii="Times New Roman" w:hAnsi="Times New Roman" w:eastAsia="宋体-简" w:cs="Times New Roman"/>
          <w:b/>
          <w:bCs/>
          <w:sz w:val="28"/>
          <w:szCs w:val="28"/>
          <w:lang w:bidi="ar"/>
        </w:rPr>
        <w:t>应激反应处置</w:t>
      </w:r>
    </w:p>
    <w:bookmarkEnd w:id="0"/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1、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接种后，应仔细观察猪的反应。个别猪可能出现过敏，严重者可注射肾上腺素，并采取辅助治疗措施。</w:t>
      </w:r>
    </w:p>
    <w:p>
      <w:pPr>
        <w:pStyle w:val="2"/>
        <w:spacing w:before="0" w:beforeAutospacing="0" w:after="0" w:afterAutospacing="0" w:line="360" w:lineRule="auto"/>
        <w:rPr>
          <w:rFonts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2、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因免疫应激造成猪只死亡时，对病死猪只按照GB 16548 进行处置。</w:t>
      </w:r>
    </w:p>
    <w:p>
      <w:pPr>
        <w:pStyle w:val="2"/>
        <w:spacing w:before="0" w:beforeAutospacing="0" w:after="0" w:afterAutospacing="0" w:line="360" w:lineRule="auto"/>
        <w:rPr>
          <w:rFonts w:hint="eastAsia" w:ascii="Times New Roman" w:hAnsi="Times New Roman" w:eastAsia="宋体-简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3、</w:t>
      </w:r>
      <w:r>
        <w:rPr>
          <w:rFonts w:ascii="Times New Roman" w:hAnsi="Times New Roman" w:eastAsia="宋体-简" w:cs="Times New Roman"/>
          <w:b w:val="0"/>
          <w:bCs w:val="0"/>
          <w:sz w:val="28"/>
          <w:szCs w:val="28"/>
          <w:lang w:bidi="ar"/>
        </w:rPr>
        <w:t>当发生动物疫情时，应对受威胁的猪进行紧急免疫。疫情报告及处置按照《中华人民共和国动物防疫法》和国务院《重大动物疫情应急条例》等有关规定执行。</w:t>
      </w:r>
    </w:p>
    <w:p>
      <w:pPr>
        <w:rPr>
          <w:rFonts w:eastAsia="宋体-简" w:cs="Times New Roman"/>
          <w:b w:val="0"/>
          <w:bCs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.pingfang sc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PUA">
    <w:altName w:val="苹方-简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新宋体">
    <w:altName w:val="苹方-简"/>
    <w:panose1 w:val="02010609030101010101"/>
    <w:charset w:val="00"/>
    <w:family w:val="modern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D5F18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 w:line="200" w:lineRule="exact"/>
      <w:jc w:val="left"/>
    </w:pPr>
    <w:rPr>
      <w:rFonts w:ascii="宋体" w:hAnsi="宋体"/>
      <w:kern w:val="0"/>
      <w:sz w:val="24"/>
      <w:szCs w:val="20"/>
    </w:rPr>
  </w:style>
  <w:style w:type="paragraph" w:customStyle="1" w:styleId="5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2019-11-09T14:20:18Z</dcterms:created>
  <dc:creator>Data</dc:creator>
  <cp:lastModifiedBy>apple</cp:lastModifiedBy>
  <dcterms:modified xsi:type="dcterms:W3CDTF">2019-11-09T14:55:38Z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